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D108" w14:textId="77777777" w:rsidR="00205CFF" w:rsidRDefault="00205CF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 w14:paraId="4CD1CD63" w14:textId="77777777" w:rsidR="00205CFF" w:rsidRDefault="00205CF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 w14:paraId="27C1329F" w14:textId="7DBCB03E" w:rsidR="00AA300F" w:rsidRDefault="00AA300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58240" behindDoc="0" locked="0" layoutInCell="1" allowOverlap="1" wp14:anchorId="3CBADE02" wp14:editId="67E3CC7D">
            <wp:simplePos x="0" y="0"/>
            <wp:positionH relativeFrom="column">
              <wp:posOffset>-161925</wp:posOffset>
            </wp:positionH>
            <wp:positionV relativeFrom="paragraph">
              <wp:posOffset>-28575</wp:posOffset>
            </wp:positionV>
            <wp:extent cx="3314700" cy="9144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9"/>
          <w:szCs w:val="19"/>
          <w:lang w:val="hr-HR"/>
        </w:rPr>
        <w:t>D.o.o. „TRA“</w:t>
      </w:r>
      <w:r w:rsidR="000B66DE">
        <w:rPr>
          <w:rFonts w:ascii="Arial" w:hAnsi="Arial" w:cs="Arial"/>
          <w:sz w:val="19"/>
          <w:szCs w:val="19"/>
          <w:lang w:val="hr-HR"/>
        </w:rPr>
        <w:t xml:space="preserve"> Agencija za razvoj općineTešan</w:t>
      </w:r>
      <w:r>
        <w:rPr>
          <w:rFonts w:ascii="Arial" w:hAnsi="Arial" w:cs="Arial"/>
          <w:sz w:val="19"/>
          <w:szCs w:val="19"/>
          <w:lang w:val="hr-HR"/>
        </w:rPr>
        <w:t xml:space="preserve">j, Trg Alije Izetbegovića br.1 </w:t>
      </w:r>
    </w:p>
    <w:p w14:paraId="39BFC791" w14:textId="77777777" w:rsidR="00AA300F" w:rsidRDefault="00AA300F" w:rsidP="000B66DE">
      <w:pPr>
        <w:pStyle w:val="Bezproreda"/>
        <w:spacing w:line="312" w:lineRule="auto"/>
        <w:outlineLvl w:val="0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74260 Tešanj </w:t>
      </w:r>
    </w:p>
    <w:p w14:paraId="0D57DC4C" w14:textId="77777777" w:rsidR="00AA300F" w:rsidRDefault="00AA300F" w:rsidP="00AA300F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Tel./Fax: +387 32 650 608; +387 32 650 390; </w:t>
      </w:r>
    </w:p>
    <w:p w14:paraId="017FB638" w14:textId="2CB27DD0" w:rsidR="000B66DE" w:rsidRDefault="00AA300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e-mail: </w:t>
      </w:r>
      <w:hyperlink r:id="rId7" w:history="1">
        <w:r w:rsidR="000B66DE" w:rsidRPr="00F920B9">
          <w:rPr>
            <w:rStyle w:val="Hyperlink"/>
            <w:rFonts w:ascii="Arial" w:hAnsi="Arial" w:cs="Arial"/>
            <w:sz w:val="19"/>
            <w:szCs w:val="19"/>
            <w:lang w:val="hr-HR"/>
          </w:rPr>
          <w:t>tra@tra.ba</w:t>
        </w:r>
      </w:hyperlink>
    </w:p>
    <w:p w14:paraId="1B7E409D" w14:textId="69320963" w:rsidR="00AA300F" w:rsidRPr="000B66DE" w:rsidRDefault="00AA300F" w:rsidP="000B66DE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D84A65">
        <w:rPr>
          <w:rFonts w:ascii="Times New Roman" w:hAnsi="Times New Roman" w:cs="Times New Roman"/>
          <w:sz w:val="24"/>
          <w:szCs w:val="24"/>
          <w:lang w:val="de-DE"/>
        </w:rPr>
        <w:t>Broj:</w:t>
      </w:r>
      <w:r w:rsidR="004E2948" w:rsidRPr="00D84A6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07335">
        <w:rPr>
          <w:rFonts w:ascii="Times New Roman" w:hAnsi="Times New Roman" w:cs="Times New Roman"/>
          <w:sz w:val="24"/>
          <w:szCs w:val="24"/>
          <w:lang w:val="de-DE"/>
        </w:rPr>
        <w:t>04-04-</w:t>
      </w:r>
      <w:r w:rsidR="00904EA5">
        <w:rPr>
          <w:rFonts w:ascii="Times New Roman" w:hAnsi="Times New Roman" w:cs="Times New Roman"/>
          <w:sz w:val="24"/>
          <w:szCs w:val="24"/>
          <w:lang w:val="de-DE"/>
        </w:rPr>
        <w:t>312/23</w:t>
      </w:r>
    </w:p>
    <w:p w14:paraId="55817857" w14:textId="502EB242" w:rsidR="00AA300F" w:rsidRPr="000B66DE" w:rsidRDefault="00AA300F" w:rsidP="000B66DE">
      <w:r w:rsidRPr="000B66DE">
        <w:t>Datum:</w:t>
      </w:r>
      <w:r w:rsidR="00817CAE">
        <w:t>0</w:t>
      </w:r>
      <w:r w:rsidR="0067283D">
        <w:t>2</w:t>
      </w:r>
      <w:r w:rsidR="00817CAE">
        <w:t>.11.2023</w:t>
      </w:r>
      <w:r w:rsidRPr="000B66DE">
        <w:t>.godine</w:t>
      </w:r>
    </w:p>
    <w:p w14:paraId="0A6CB217" w14:textId="6D66D8CD" w:rsidR="00AA300F" w:rsidRDefault="000710A9" w:rsidP="00AA300F">
      <w:r>
        <w:t xml:space="preserve">Vrijeme: </w:t>
      </w:r>
      <w:r w:rsidR="00817CAE">
        <w:t>10:30</w:t>
      </w:r>
      <w:r w:rsidR="00D810B9">
        <w:t xml:space="preserve"> </w:t>
      </w:r>
      <w:r>
        <w:t xml:space="preserve">h </w:t>
      </w:r>
    </w:p>
    <w:p w14:paraId="06F8D06F" w14:textId="77777777" w:rsidR="00AA300F" w:rsidRDefault="00AA300F" w:rsidP="00AA300F">
      <w:pPr>
        <w:jc w:val="center"/>
        <w:outlineLvl w:val="0"/>
        <w:rPr>
          <w:b/>
        </w:rPr>
      </w:pPr>
      <w:r>
        <w:rPr>
          <w:b/>
        </w:rPr>
        <w:t>ZAPISNIK</w:t>
      </w:r>
    </w:p>
    <w:p w14:paraId="3E593462" w14:textId="128BACB4" w:rsidR="000710A9" w:rsidRPr="00FA45C6" w:rsidRDefault="00AA300F" w:rsidP="00FA45C6">
      <w:pPr>
        <w:jc w:val="center"/>
      </w:pPr>
      <w:r>
        <w:rPr>
          <w:b/>
        </w:rPr>
        <w:t xml:space="preserve">  </w:t>
      </w:r>
      <w:r w:rsidR="00971DF9">
        <w:rPr>
          <w:b/>
        </w:rPr>
        <w:t>sa</w:t>
      </w:r>
      <w:r>
        <w:rPr>
          <w:b/>
        </w:rPr>
        <w:t xml:space="preserve"> </w:t>
      </w:r>
      <w:r w:rsidR="004906CD">
        <w:rPr>
          <w:b/>
        </w:rPr>
        <w:t>X</w:t>
      </w:r>
      <w:r w:rsidR="006D3421">
        <w:rPr>
          <w:b/>
        </w:rPr>
        <w:t>V</w:t>
      </w:r>
      <w:r w:rsidR="00D07335">
        <w:rPr>
          <w:b/>
        </w:rPr>
        <w:t>I</w:t>
      </w:r>
      <w:r w:rsidR="00072926">
        <w:rPr>
          <w:b/>
        </w:rPr>
        <w:t>I</w:t>
      </w:r>
      <w:r w:rsidR="00817CAE">
        <w:rPr>
          <w:b/>
        </w:rPr>
        <w:t xml:space="preserve">I </w:t>
      </w:r>
      <w:r>
        <w:t>sjednice Nadzornog odbora  „TRA“ d.o.o-Agencije za razvoj općine Tešanj</w:t>
      </w:r>
    </w:p>
    <w:tbl>
      <w:tblPr>
        <w:tblW w:w="5800" w:type="pct"/>
        <w:tblInd w:w="-74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225"/>
        <w:gridCol w:w="9275"/>
      </w:tblGrid>
      <w:tr w:rsidR="000710A9" w:rsidRPr="003834FE" w14:paraId="114B656F" w14:textId="77777777" w:rsidTr="00281C92">
        <w:tc>
          <w:tcPr>
            <w:tcW w:w="568" w:type="pct"/>
            <w:shd w:val="clear" w:color="auto" w:fill="auto"/>
          </w:tcPr>
          <w:p w14:paraId="7F3B698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Mjesto</w:t>
            </w:r>
          </w:p>
        </w:tc>
        <w:tc>
          <w:tcPr>
            <w:tcW w:w="4432" w:type="pct"/>
            <w:shd w:val="clear" w:color="auto" w:fill="auto"/>
          </w:tcPr>
          <w:p w14:paraId="254CE073" w14:textId="77777777" w:rsidR="000710A9" w:rsidRPr="003834FE" w:rsidRDefault="000710A9" w:rsidP="00281C92">
            <w:pPr>
              <w:pStyle w:val="TableBullets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>Prostorije TRA Agencije za razvoj općine Tešanj</w:t>
            </w:r>
          </w:p>
        </w:tc>
      </w:tr>
      <w:tr w:rsidR="000710A9" w:rsidRPr="003834FE" w14:paraId="31604BE4" w14:textId="77777777" w:rsidTr="00281C92">
        <w:tc>
          <w:tcPr>
            <w:tcW w:w="568" w:type="pct"/>
            <w:shd w:val="clear" w:color="auto" w:fill="auto"/>
          </w:tcPr>
          <w:p w14:paraId="147F1C02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Zapisničar</w:t>
            </w:r>
          </w:p>
        </w:tc>
        <w:tc>
          <w:tcPr>
            <w:tcW w:w="4432" w:type="pct"/>
            <w:shd w:val="clear" w:color="auto" w:fill="auto"/>
          </w:tcPr>
          <w:p w14:paraId="6B62338B" w14:textId="30583098" w:rsidR="000710A9" w:rsidRPr="003834FE" w:rsidRDefault="004906CD" w:rsidP="004906CD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lang w:val="bs-Latn-BA"/>
              </w:rPr>
              <w:t>Muamer Omahić</w:t>
            </w:r>
          </w:p>
        </w:tc>
      </w:tr>
      <w:tr w:rsidR="000710A9" w:rsidRPr="003834FE" w14:paraId="5555C350" w14:textId="77777777" w:rsidTr="00281C92">
        <w:tc>
          <w:tcPr>
            <w:tcW w:w="568" w:type="pct"/>
            <w:shd w:val="clear" w:color="auto" w:fill="auto"/>
          </w:tcPr>
          <w:p w14:paraId="564C2EFC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Tema</w:t>
            </w:r>
          </w:p>
        </w:tc>
        <w:tc>
          <w:tcPr>
            <w:tcW w:w="4432" w:type="pct"/>
            <w:shd w:val="clear" w:color="auto" w:fill="auto"/>
          </w:tcPr>
          <w:p w14:paraId="43B36C7D" w14:textId="136D42A5" w:rsidR="000710A9" w:rsidRPr="000710A9" w:rsidRDefault="004906CD" w:rsidP="000710A9">
            <w:r>
              <w:t>X</w:t>
            </w:r>
            <w:r w:rsidR="00626D10">
              <w:t>V</w:t>
            </w:r>
            <w:r w:rsidR="00D07335">
              <w:t>I</w:t>
            </w:r>
            <w:r w:rsidR="00164024">
              <w:t>I</w:t>
            </w:r>
            <w:r w:rsidR="00817CAE">
              <w:t>I</w:t>
            </w:r>
            <w:r w:rsidR="00626D10">
              <w:t xml:space="preserve"> </w:t>
            </w:r>
            <w:r w:rsidR="00365756">
              <w:t xml:space="preserve"> </w:t>
            </w:r>
            <w:r w:rsidR="000710A9">
              <w:t>sjednice Nadzornog odbora  „TRA“ d.o.o-Agencije za razvoj općine Tešanj</w:t>
            </w:r>
          </w:p>
        </w:tc>
      </w:tr>
      <w:tr w:rsidR="000710A9" w:rsidRPr="003834FE" w14:paraId="7E1D764F" w14:textId="77777777" w:rsidTr="00281C92">
        <w:tc>
          <w:tcPr>
            <w:tcW w:w="568" w:type="pct"/>
            <w:shd w:val="clear" w:color="auto" w:fill="auto"/>
          </w:tcPr>
          <w:p w14:paraId="5632ADF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Prisutni</w:t>
            </w:r>
          </w:p>
        </w:tc>
        <w:tc>
          <w:tcPr>
            <w:tcW w:w="4432" w:type="pct"/>
            <w:shd w:val="clear" w:color="auto" w:fill="auto"/>
          </w:tcPr>
          <w:p w14:paraId="71492875" w14:textId="77777777" w:rsidR="000710A9" w:rsidRPr="00082E52" w:rsidRDefault="000710A9" w:rsidP="000710A9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082E52" w:rsidRPr="00082E52">
              <w:rPr>
                <w:rFonts w:asciiTheme="minorHAnsi" w:hAnsiTheme="minorHAnsi" w:cstheme="minorHAnsi"/>
                <w:sz w:val="22"/>
                <w:szCs w:val="22"/>
              </w:rPr>
              <w:t>Šerif Plančić, Predsjednik NO TRA</w:t>
            </w:r>
          </w:p>
          <w:p w14:paraId="1EA20C23" w14:textId="77777777" w:rsidR="000710A9" w:rsidRPr="00082E52" w:rsidRDefault="00082E52" w:rsidP="000710A9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710A9"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Fuad Šišić , član NO TRA                                                                         </w:t>
            </w:r>
          </w:p>
          <w:p w14:paraId="49B86977" w14:textId="77777777" w:rsidR="00082E52" w:rsidRPr="00082E52" w:rsidRDefault="00082E52" w:rsidP="00082E52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>3. Hajrudin Alić, član NO TRA</w:t>
            </w:r>
          </w:p>
          <w:p w14:paraId="42B2D066" w14:textId="77777777" w:rsidR="000710A9" w:rsidRPr="00082E52" w:rsidRDefault="000710A9" w:rsidP="00281C92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</w:p>
          <w:p w14:paraId="60F1AE8C" w14:textId="77777777" w:rsidR="000710A9" w:rsidRPr="00082E52" w:rsidRDefault="000710A9" w:rsidP="000710A9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082E52">
              <w:rPr>
                <w:rFonts w:asciiTheme="minorHAnsi" w:hAnsiTheme="minorHAnsi" w:cstheme="minorHAnsi"/>
                <w:b/>
                <w:sz w:val="22"/>
                <w:szCs w:val="22"/>
              </w:rPr>
              <w:t>Prisutni član Uprave Agencije</w:t>
            </w:r>
          </w:p>
          <w:p w14:paraId="5A941604" w14:textId="2DAEC05C" w:rsidR="000710A9" w:rsidRPr="00FA45C6" w:rsidRDefault="000710A9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1. </w:t>
            </w:r>
            <w:r w:rsidR="004906CD"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Edin Ibrahimović</w:t>
            </w:r>
            <w:r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, direktor Agencije</w:t>
            </w:r>
            <w:r w:rsidR="00082E52"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za razvoj općine Tešanj</w:t>
            </w:r>
          </w:p>
        </w:tc>
      </w:tr>
      <w:tr w:rsidR="000710A9" w:rsidRPr="003834FE" w14:paraId="0F0FE786" w14:textId="77777777" w:rsidTr="00281C92">
        <w:tc>
          <w:tcPr>
            <w:tcW w:w="568" w:type="pct"/>
            <w:shd w:val="clear" w:color="auto" w:fill="auto"/>
          </w:tcPr>
          <w:p w14:paraId="4B50B341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Odsutni</w:t>
            </w:r>
          </w:p>
        </w:tc>
        <w:tc>
          <w:tcPr>
            <w:tcW w:w="4432" w:type="pct"/>
            <w:shd w:val="clear" w:color="auto" w:fill="auto"/>
          </w:tcPr>
          <w:p w14:paraId="71F99682" w14:textId="77777777" w:rsidR="000710A9" w:rsidRPr="003834FE" w:rsidRDefault="000710A9" w:rsidP="000710A9">
            <w:pPr>
              <w:pStyle w:val="TableBullets"/>
              <w:numPr>
                <w:ilvl w:val="0"/>
                <w:numId w:val="0"/>
              </w:numPr>
              <w:ind w:left="216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>-</w:t>
            </w:r>
          </w:p>
        </w:tc>
      </w:tr>
      <w:tr w:rsidR="000710A9" w:rsidRPr="003834FE" w14:paraId="3CDB6ED0" w14:textId="77777777" w:rsidTr="00281C92">
        <w:tc>
          <w:tcPr>
            <w:tcW w:w="568" w:type="pct"/>
            <w:shd w:val="clear" w:color="auto" w:fill="auto"/>
          </w:tcPr>
          <w:p w14:paraId="7031C18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Dnevni red</w:t>
            </w:r>
          </w:p>
        </w:tc>
        <w:tc>
          <w:tcPr>
            <w:tcW w:w="4432" w:type="pct"/>
            <w:shd w:val="clear" w:color="auto" w:fill="auto"/>
          </w:tcPr>
          <w:p w14:paraId="41350AF6" w14:textId="77777777" w:rsidR="00486911" w:rsidRPr="00486911" w:rsidRDefault="00486911" w:rsidP="00486911">
            <w:pPr>
              <w:jc w:val="both"/>
              <w:rPr>
                <w:rFonts w:asciiTheme="minorHAnsi" w:hAnsiTheme="minorHAnsi" w:cstheme="minorHAnsi"/>
              </w:rPr>
            </w:pPr>
            <w:r w:rsidRPr="00486911">
              <w:rPr>
                <w:rFonts w:asciiTheme="minorHAnsi" w:hAnsiTheme="minorHAnsi" w:cstheme="minorHAnsi"/>
              </w:rPr>
              <w:t>1. Odnosi direktora i Nadzornog odbora TRA d.o.o</w:t>
            </w:r>
          </w:p>
          <w:p w14:paraId="2AF24BCC" w14:textId="77777777" w:rsidR="00486911" w:rsidRPr="00486911" w:rsidRDefault="00486911" w:rsidP="00486911">
            <w:pPr>
              <w:jc w:val="both"/>
              <w:rPr>
                <w:rFonts w:asciiTheme="minorHAnsi" w:hAnsiTheme="minorHAnsi" w:cstheme="minorHAnsi"/>
              </w:rPr>
            </w:pPr>
            <w:r w:rsidRPr="00486911">
              <w:rPr>
                <w:rFonts w:asciiTheme="minorHAnsi" w:hAnsiTheme="minorHAnsi" w:cstheme="minorHAnsi"/>
              </w:rPr>
              <w:t xml:space="preserve">2. Razmatranje prijedloga ostavke direktora TRA d.o.o </w:t>
            </w:r>
          </w:p>
          <w:p w14:paraId="7F4548E4" w14:textId="2C528F14" w:rsidR="00817CAE" w:rsidRPr="00626D10" w:rsidRDefault="00486911" w:rsidP="00486911">
            <w:pPr>
              <w:jc w:val="both"/>
              <w:rPr>
                <w:rFonts w:asciiTheme="minorHAnsi" w:hAnsiTheme="minorHAnsi" w:cstheme="minorHAnsi"/>
              </w:rPr>
            </w:pPr>
            <w:r w:rsidRPr="00486911">
              <w:rPr>
                <w:rFonts w:asciiTheme="minorHAnsi" w:hAnsiTheme="minorHAnsi" w:cstheme="minorHAnsi"/>
              </w:rPr>
              <w:t>3. Prijedlog Poziva za 26. sjednicu Skupštine TRA d.oo</w:t>
            </w:r>
          </w:p>
          <w:p w14:paraId="52D7D38B" w14:textId="04205152" w:rsidR="000710A9" w:rsidRPr="00626D10" w:rsidRDefault="000710A9" w:rsidP="00360A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710A9" w:rsidRPr="003834FE" w14:paraId="4CFECA32" w14:textId="77777777" w:rsidTr="00281C92">
        <w:tc>
          <w:tcPr>
            <w:tcW w:w="568" w:type="pct"/>
            <w:shd w:val="clear" w:color="auto" w:fill="auto"/>
          </w:tcPr>
          <w:p w14:paraId="4936E9F1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Sažetak sastanka</w:t>
            </w:r>
          </w:p>
        </w:tc>
        <w:tc>
          <w:tcPr>
            <w:tcW w:w="4432" w:type="pct"/>
            <w:shd w:val="clear" w:color="auto" w:fill="auto"/>
          </w:tcPr>
          <w:p w14:paraId="760F8254" w14:textId="596DA132" w:rsidR="00D07335" w:rsidRDefault="000710A9" w:rsidP="0089210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Predsjednik NO TRA Agencije, je otvorio </w:t>
            </w:r>
            <w:r w:rsidR="00626D10">
              <w:rPr>
                <w:rFonts w:ascii="Calibri" w:hAnsi="Calibri" w:cs="Calibri"/>
                <w:sz w:val="22"/>
                <w:szCs w:val="22"/>
              </w:rPr>
              <w:t>XV</w:t>
            </w:r>
            <w:r w:rsidR="00D07335">
              <w:rPr>
                <w:rFonts w:ascii="Calibri" w:hAnsi="Calibri" w:cs="Calibri"/>
                <w:sz w:val="22"/>
                <w:szCs w:val="22"/>
              </w:rPr>
              <w:t>I</w:t>
            </w:r>
            <w:r w:rsidR="00360A24">
              <w:rPr>
                <w:rFonts w:ascii="Calibri" w:hAnsi="Calibri" w:cs="Calibri"/>
                <w:sz w:val="22"/>
                <w:szCs w:val="22"/>
              </w:rPr>
              <w:t>I</w:t>
            </w:r>
            <w:r w:rsidR="00486911">
              <w:rPr>
                <w:rFonts w:ascii="Calibri" w:hAnsi="Calibri" w:cs="Calibri"/>
                <w:sz w:val="22"/>
                <w:szCs w:val="22"/>
              </w:rPr>
              <w:t>I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sjednicu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, konstatovao da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su prisutni svi članovi NO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te 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pozdravio sve prisutne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zahvalio se na odzivu.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Nakon prezentovanja 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prijedlog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dnevnog reda za </w:t>
            </w:r>
            <w:r w:rsidR="00626D10">
              <w:rPr>
                <w:rFonts w:ascii="Calibri" w:hAnsi="Calibri" w:cs="Calibri"/>
                <w:sz w:val="22"/>
                <w:szCs w:val="22"/>
              </w:rPr>
              <w:t>XV</w:t>
            </w:r>
            <w:r w:rsidR="00D07335">
              <w:rPr>
                <w:rFonts w:ascii="Calibri" w:hAnsi="Calibri" w:cs="Calibri"/>
                <w:sz w:val="22"/>
                <w:szCs w:val="22"/>
              </w:rPr>
              <w:t>I</w:t>
            </w:r>
            <w:r w:rsidR="00360A24">
              <w:rPr>
                <w:rFonts w:ascii="Calibri" w:hAnsi="Calibri" w:cs="Calibri"/>
                <w:sz w:val="22"/>
                <w:szCs w:val="22"/>
              </w:rPr>
              <w:t>I</w:t>
            </w:r>
            <w:r w:rsidR="00D8330C">
              <w:rPr>
                <w:rFonts w:ascii="Calibri" w:hAnsi="Calibri" w:cs="Calibri"/>
                <w:sz w:val="22"/>
                <w:szCs w:val="22"/>
              </w:rPr>
              <w:t>I</w:t>
            </w:r>
            <w:r w:rsidR="00394C6C">
              <w:rPr>
                <w:rFonts w:ascii="Calibri" w:hAnsi="Calibri" w:cs="Calibri"/>
                <w:sz w:val="22"/>
                <w:szCs w:val="22"/>
              </w:rPr>
              <w:t xml:space="preserve"> sjednicu,</w:t>
            </w:r>
            <w:r w:rsidR="00626D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8330C">
              <w:rPr>
                <w:rFonts w:ascii="Calibri" w:hAnsi="Calibri" w:cs="Calibri"/>
                <w:sz w:val="22"/>
                <w:szCs w:val="22"/>
              </w:rPr>
              <w:t>iznesen je prijedlog za izmjenom dnevnog pa je usvojen dnevni red za XVIII sjednicu NO TRA d.o.o;</w:t>
            </w:r>
          </w:p>
          <w:p w14:paraId="6CD4E4EC" w14:textId="6F9F63AB" w:rsidR="00D8330C" w:rsidRPr="00616812" w:rsidRDefault="00D8330C" w:rsidP="00D8330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68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</w:t>
            </w:r>
            <w:r w:rsidRPr="006168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Usvajanje zapisnika sa </w:t>
            </w:r>
            <w:r w:rsidR="00616812" w:rsidRPr="006168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17. sjednice NO TRA </w:t>
            </w:r>
          </w:p>
          <w:p w14:paraId="3E5F30F7" w14:textId="3DC02813" w:rsidR="00D8330C" w:rsidRPr="00616812" w:rsidRDefault="00D8330C" w:rsidP="00D8330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6812">
              <w:rPr>
                <w:rFonts w:ascii="Calibri" w:hAnsi="Calibri" w:cs="Calibri"/>
                <w:b/>
                <w:bCs/>
                <w:sz w:val="22"/>
                <w:szCs w:val="22"/>
              </w:rPr>
              <w:t>2. Odnosi direktora i Nadzornog odbora TRA d.o.o</w:t>
            </w:r>
          </w:p>
          <w:p w14:paraId="40FAA4CA" w14:textId="64E637B0" w:rsidR="00D8330C" w:rsidRPr="00616812" w:rsidRDefault="00D8330C" w:rsidP="00D8330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6812">
              <w:rPr>
                <w:rFonts w:ascii="Calibri" w:hAnsi="Calibri" w:cs="Calibri"/>
                <w:b/>
                <w:bCs/>
                <w:sz w:val="22"/>
                <w:szCs w:val="22"/>
              </w:rPr>
              <w:t>3. Prijedlog Poziva za 26. sjednicu Skupštine TRA d.oo</w:t>
            </w:r>
          </w:p>
          <w:p w14:paraId="5239BF07" w14:textId="4514045D" w:rsidR="00626D10" w:rsidRDefault="00626D10" w:rsidP="001912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9A8BD5" w14:textId="25B98415" w:rsidR="001446FF" w:rsidRDefault="00917103" w:rsidP="00FA45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7103">
              <w:rPr>
                <w:rFonts w:ascii="Calibri" w:hAnsi="Calibri" w:cs="Calibri"/>
                <w:b/>
                <w:bCs/>
                <w:sz w:val="22"/>
                <w:szCs w:val="22"/>
              </w:rPr>
              <w:t>AD1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82E52">
              <w:rPr>
                <w:rFonts w:ascii="Calibri" w:hAnsi="Calibri" w:cs="Calibri"/>
                <w:sz w:val="22"/>
                <w:szCs w:val="22"/>
              </w:rPr>
              <w:t>Kada je u pitanju 1. Tačka dnevnog reda</w:t>
            </w:r>
            <w:r w:rsidR="000710A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47A06">
              <w:rPr>
                <w:rFonts w:ascii="Calibri" w:hAnsi="Calibri" w:cs="Calibri"/>
                <w:sz w:val="22"/>
                <w:szCs w:val="22"/>
              </w:rPr>
              <w:t xml:space="preserve">iznesena je sugestija da se </w:t>
            </w:r>
            <w:r w:rsidR="00B7068A">
              <w:rPr>
                <w:rFonts w:ascii="Calibri" w:hAnsi="Calibri" w:cs="Calibri"/>
                <w:sz w:val="22"/>
                <w:szCs w:val="22"/>
              </w:rPr>
              <w:t>u zapisniku u tački 2. umjesto postojeće formulacije</w:t>
            </w:r>
            <w:r w:rsidR="00547CA1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BD1066">
              <w:rPr>
                <w:rFonts w:ascii="Calibri" w:hAnsi="Calibri" w:cs="Calibri"/>
                <w:sz w:val="22"/>
                <w:szCs w:val="22"/>
              </w:rPr>
              <w:t>„</w:t>
            </w:r>
            <w:r w:rsidR="00547CA1">
              <w:rPr>
                <w:rFonts w:ascii="Calibri" w:hAnsi="Calibri" w:cs="Calibri"/>
                <w:sz w:val="22"/>
                <w:szCs w:val="22"/>
              </w:rPr>
              <w:t>kažnjavanje i san</w:t>
            </w:r>
            <w:r w:rsidR="00BD1066">
              <w:rPr>
                <w:rFonts w:ascii="Calibri" w:hAnsi="Calibri" w:cs="Calibri"/>
                <w:sz w:val="22"/>
                <w:szCs w:val="22"/>
              </w:rPr>
              <w:t>kcionisanje zaposlenika“ ispravi u slijedeću formulaciju</w:t>
            </w:r>
            <w:r w:rsidR="00B7068A">
              <w:rPr>
                <w:rFonts w:ascii="Calibri" w:hAnsi="Calibri" w:cs="Calibri"/>
                <w:sz w:val="22"/>
                <w:szCs w:val="22"/>
              </w:rPr>
              <w:t xml:space="preserve"> „nagrađivanje i sankcionisanje zaposlenika</w:t>
            </w:r>
            <w:r w:rsidR="00BD1066">
              <w:rPr>
                <w:rFonts w:ascii="Calibri" w:hAnsi="Calibri" w:cs="Calibri"/>
                <w:sz w:val="22"/>
                <w:szCs w:val="22"/>
              </w:rPr>
              <w:t>“</w:t>
            </w:r>
            <w:r w:rsidR="00B706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20EA4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82E52">
              <w:rPr>
                <w:rFonts w:ascii="Calibri" w:hAnsi="Calibri" w:cs="Calibri"/>
                <w:sz w:val="22"/>
                <w:szCs w:val="22"/>
              </w:rPr>
              <w:t>Potom</w:t>
            </w:r>
            <w:r w:rsidR="000710A9" w:rsidRPr="003834FE">
              <w:rPr>
                <w:rFonts w:ascii="Calibri" w:hAnsi="Calibri" w:cs="Calibri"/>
                <w:sz w:val="22"/>
                <w:szCs w:val="22"/>
              </w:rPr>
              <w:t xml:space="preserve"> se pristupilo glasanju i zapisnik  je jednoglasno usvojen</w:t>
            </w:r>
            <w:r w:rsidR="001446F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4698A4E" w14:textId="6C66A2CA" w:rsidR="000D59DC" w:rsidRDefault="000710A9" w:rsidP="00A66E8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34FE">
              <w:rPr>
                <w:rFonts w:ascii="Calibri" w:hAnsi="Calibri" w:cs="Calibri"/>
                <w:b/>
                <w:sz w:val="22"/>
                <w:szCs w:val="22"/>
              </w:rPr>
              <w:t>Zaključak 1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Zapisnik sa </w:t>
            </w:r>
            <w:r w:rsidR="00784825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BD1066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971DF9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>sjednice</w:t>
            </w:r>
            <w:r w:rsidR="00E470B7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NO</w:t>
            </w:r>
            <w:r w:rsidR="00971DF9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</w:t>
            </w:r>
            <w:r w:rsidR="00E470B7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jednoglasno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usvojen</w:t>
            </w:r>
            <w:r w:rsidR="00BD1066">
              <w:rPr>
                <w:rFonts w:ascii="Calibri" w:hAnsi="Calibri" w:cs="Calibri"/>
                <w:b/>
                <w:bCs/>
                <w:sz w:val="22"/>
                <w:szCs w:val="22"/>
              </w:rPr>
              <w:t>, uz izenesen</w:t>
            </w:r>
            <w:r w:rsidR="00364BF9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BD10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prijedlog za </w:t>
            </w:r>
            <w:r w:rsidR="00364BF9">
              <w:rPr>
                <w:rFonts w:ascii="Calibri" w:hAnsi="Calibri" w:cs="Calibri"/>
                <w:b/>
                <w:bCs/>
                <w:sz w:val="22"/>
                <w:szCs w:val="22"/>
              </w:rPr>
              <w:t>korekcijom zapisnika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73AEE225" w14:textId="77777777" w:rsidR="00046A72" w:rsidRPr="00046A72" w:rsidRDefault="00046A72" w:rsidP="00A66E8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891EE4" w14:textId="539C801C" w:rsidR="007B2682" w:rsidRPr="00453974" w:rsidRDefault="007B2682" w:rsidP="00A66E8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AD2</w:t>
            </w:r>
            <w:r w:rsidR="0045397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4713B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>Preds</w:t>
            </w:r>
            <w:r w:rsidR="00EE3FC9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>jednik</w:t>
            </w:r>
            <w:r w:rsidR="0034713B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otvor</w:t>
            </w:r>
            <w:r w:rsidR="00AB161E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io </w:t>
            </w:r>
            <w:r w:rsidR="0034713B" w:rsidRPr="00453974">
              <w:rPr>
                <w:rFonts w:asciiTheme="minorHAnsi" w:hAnsiTheme="minorHAnsi" w:cstheme="minorHAnsi"/>
                <w:bCs/>
                <w:sz w:val="22"/>
                <w:szCs w:val="22"/>
              </w:rPr>
              <w:t>drugu tačku dnevnog reda.</w:t>
            </w:r>
            <w:r w:rsidR="00535F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Povod d</w:t>
            </w:r>
            <w:r w:rsidR="00E5014D">
              <w:rPr>
                <w:rFonts w:asciiTheme="minorHAnsi" w:hAnsiTheme="minorHAnsi" w:cstheme="minorHAnsi"/>
                <w:bCs/>
                <w:sz w:val="22"/>
                <w:szCs w:val="22"/>
              </w:rPr>
              <w:t>is</w:t>
            </w:r>
            <w:r w:rsidR="00535F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kusije pod ovom tačkom </w:t>
            </w:r>
            <w:r w:rsidR="00100052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E501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665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objavljena kolumna na web portalu na osnovu koje je Direktor reagovao i </w:t>
            </w:r>
            <w:r w:rsidR="003C18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ponudio Nadzornom odboru </w:t>
            </w:r>
            <w:r w:rsidR="00E90E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ostavku na dužnost direktora. Tokom diskusije </w:t>
            </w:r>
            <w:r w:rsidR="00977C72">
              <w:rPr>
                <w:rFonts w:asciiTheme="minorHAnsi" w:hAnsiTheme="minorHAnsi" w:cstheme="minorHAnsi"/>
                <w:bCs/>
                <w:sz w:val="22"/>
                <w:szCs w:val="22"/>
              </w:rPr>
              <w:t>izneseno je</w:t>
            </w:r>
            <w:r w:rsidR="007855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nekoliko</w:t>
            </w:r>
            <w:r w:rsidR="00977C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stavova po ovom pitanju. </w:t>
            </w:r>
            <w:r w:rsidR="004B65A7">
              <w:rPr>
                <w:rFonts w:asciiTheme="minorHAnsi" w:hAnsiTheme="minorHAnsi" w:cstheme="minorHAnsi"/>
                <w:bCs/>
                <w:sz w:val="22"/>
                <w:szCs w:val="22"/>
              </w:rPr>
              <w:t>Kolumna objavljena na web portalu nije objavljena ispred Nadzornog</w:t>
            </w:r>
            <w:r w:rsidR="00F56B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ista je objavljena od strane autora </w:t>
            </w:r>
            <w:r w:rsidR="0013058D">
              <w:rPr>
                <w:rFonts w:asciiTheme="minorHAnsi" w:hAnsiTheme="minorHAnsi" w:cstheme="minorHAnsi"/>
                <w:bCs/>
                <w:sz w:val="22"/>
                <w:szCs w:val="22"/>
              </w:rPr>
              <w:t>u namjeri razumijevanja društvenih procesa</w:t>
            </w:r>
            <w:r w:rsidR="000000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0B13CF">
              <w:rPr>
                <w:rFonts w:asciiTheme="minorHAnsi" w:hAnsiTheme="minorHAnsi" w:cstheme="minorHAnsi"/>
                <w:bCs/>
                <w:sz w:val="22"/>
                <w:szCs w:val="22"/>
              </w:rPr>
              <w:t>Svi se moramo uvažavati o ovom problemu je potrebno razgovarati, do sada je bio korektan odnos između Direktora i NO T</w:t>
            </w:r>
            <w:r w:rsidR="00125B44">
              <w:rPr>
                <w:rFonts w:asciiTheme="minorHAnsi" w:hAnsiTheme="minorHAnsi" w:cstheme="minorHAnsi"/>
                <w:bCs/>
                <w:sz w:val="22"/>
                <w:szCs w:val="22"/>
              </w:rPr>
              <w:t>RA</w:t>
            </w:r>
            <w:r w:rsidR="000B13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d.o.o.</w:t>
            </w:r>
            <w:r w:rsidR="00125B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Većina stvari na kolumni je već ranije iznesena na sjednicama Nadzornog odbora</w:t>
            </w:r>
            <w:r w:rsidR="005100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Članovi Nadzornog odbora maksimalno su se zalagali i nastojali da svi izneseni prijedlozi budu usvojeni. </w:t>
            </w:r>
            <w:r w:rsidR="00E355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Ugled Agencije je značajno unaprijeđen u </w:t>
            </w:r>
            <w:r w:rsidR="00B121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zadnjem vremenskom periodu. </w:t>
            </w:r>
            <w:r w:rsidR="00A915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 organizaciju </w:t>
            </w:r>
            <w:r w:rsidR="000D2B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događaja; </w:t>
            </w:r>
            <w:r w:rsidR="00464D51">
              <w:rPr>
                <w:rFonts w:asciiTheme="minorHAnsi" w:hAnsiTheme="minorHAnsi" w:cstheme="minorHAnsi"/>
                <w:bCs/>
                <w:sz w:val="22"/>
                <w:szCs w:val="22"/>
              </w:rPr>
              <w:t>svečanog otvorenja</w:t>
            </w:r>
            <w:r w:rsidR="000D2B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TECH LAB-a koja je i </w:t>
            </w:r>
            <w:r w:rsidR="00464D5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povod određenih nesuglasica</w:t>
            </w:r>
            <w:r w:rsidR="001513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Nadzorni odbor </w:t>
            </w:r>
            <w:r w:rsidR="00B61872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C763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mogao dati određene prijedloge u vezi same org</w:t>
            </w:r>
            <w:r w:rsidR="00B61872">
              <w:rPr>
                <w:rFonts w:asciiTheme="minorHAnsi" w:hAnsiTheme="minorHAnsi" w:cstheme="minorHAnsi"/>
                <w:bCs/>
                <w:sz w:val="22"/>
                <w:szCs w:val="22"/>
              </w:rPr>
              <w:t>anizacije</w:t>
            </w:r>
            <w:r w:rsidR="00C763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 je bio upoznat o sadržaju ili agendi događaja</w:t>
            </w:r>
            <w:r w:rsidR="00F226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prije samog upućivanja poziva. </w:t>
            </w:r>
            <w:r w:rsidR="000D36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Nakon zaključene rasprave Nadzorni odbor usvojio je slijedeće; </w:t>
            </w:r>
          </w:p>
          <w:p w14:paraId="12B90966" w14:textId="77777777" w:rsidR="0093025E" w:rsidRDefault="0093025E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7E261F" w14:textId="0C477DAF" w:rsidR="0093025E" w:rsidRDefault="0093025E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Zaključak 2.1</w:t>
            </w:r>
          </w:p>
          <w:p w14:paraId="032AC36C" w14:textId="75844B6A" w:rsidR="00AB161E" w:rsidRDefault="00200D36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Saradnja između </w:t>
            </w:r>
            <w:r w:rsidR="00FB48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između Direktora i Nadzornog odbora TRA d.o.o </w:t>
            </w:r>
            <w:r w:rsidR="00C104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 u dobroj atmosferi </w:t>
            </w:r>
            <w:r w:rsidR="002974B8">
              <w:rPr>
                <w:rFonts w:asciiTheme="minorHAnsi" w:hAnsiTheme="minorHAnsi" w:cstheme="minorHAnsi"/>
                <w:b/>
                <w:sz w:val="22"/>
                <w:szCs w:val="22"/>
              </w:rPr>
              <w:t>sa</w:t>
            </w:r>
            <w:r w:rsidR="00C104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jasno definisanom smjeru kretanja i rada TRA d.o.o-Agencije </w:t>
            </w:r>
            <w:r w:rsidR="002974B8">
              <w:rPr>
                <w:rFonts w:asciiTheme="minorHAnsi" w:hAnsiTheme="minorHAnsi" w:cstheme="minorHAnsi"/>
                <w:b/>
                <w:sz w:val="22"/>
                <w:szCs w:val="22"/>
              </w:rPr>
              <w:t>za razvoj općine Tešanj.</w:t>
            </w:r>
          </w:p>
          <w:p w14:paraId="12BC26F8" w14:textId="77777777" w:rsidR="009705CB" w:rsidRDefault="009705CB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A85FF1" w14:textId="221E418B" w:rsidR="009705CB" w:rsidRDefault="009705CB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05CB">
              <w:rPr>
                <w:rFonts w:asciiTheme="minorHAnsi" w:hAnsiTheme="minorHAnsi" w:cstheme="minorHAnsi"/>
                <w:b/>
                <w:sz w:val="22"/>
                <w:szCs w:val="22"/>
              </w:rPr>
              <w:t>Zaključak 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14:paraId="109265D6" w14:textId="627E8C7D" w:rsidR="009705CB" w:rsidRDefault="00F733D7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 individulanoj komunikaciji </w:t>
            </w:r>
            <w:r w:rsidR="000D3631">
              <w:rPr>
                <w:rFonts w:asciiTheme="minorHAnsi" w:hAnsiTheme="minorHAnsi" w:cstheme="minorHAnsi"/>
                <w:b/>
                <w:sz w:val="22"/>
                <w:szCs w:val="22"/>
              </w:rPr>
              <w:t>postoje razlike ali i prostor za poboljšanje.</w:t>
            </w:r>
          </w:p>
          <w:p w14:paraId="5C2EC231" w14:textId="77777777" w:rsidR="009705CB" w:rsidRDefault="009705CB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107AC6" w14:textId="77777777" w:rsidR="007B2682" w:rsidRDefault="007B2682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5BF363" w14:textId="023B4912" w:rsidR="001251CD" w:rsidRDefault="000710A9" w:rsidP="001251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6E8D">
              <w:rPr>
                <w:rFonts w:asciiTheme="minorHAnsi" w:hAnsiTheme="minorHAnsi" w:cstheme="minorHAnsi"/>
                <w:b/>
                <w:sz w:val="22"/>
                <w:szCs w:val="22"/>
              </w:rPr>
              <w:t>AD</w:t>
            </w:r>
            <w:r w:rsidR="007B268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82E52" w:rsidRPr="00A66E8D">
              <w:rPr>
                <w:rFonts w:asciiTheme="minorHAnsi" w:hAnsiTheme="minorHAnsi" w:cstheme="minorHAnsi"/>
                <w:sz w:val="22"/>
                <w:szCs w:val="22"/>
              </w:rPr>
              <w:t>Predsjednik NO</w:t>
            </w:r>
            <w:r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 je ot</w:t>
            </w:r>
            <w:r w:rsidR="00082E52"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vorio </w:t>
            </w:r>
            <w:r w:rsidR="007B2682">
              <w:rPr>
                <w:rFonts w:asciiTheme="minorHAnsi" w:hAnsiTheme="minorHAnsi" w:cstheme="minorHAnsi"/>
                <w:sz w:val="22"/>
                <w:szCs w:val="22"/>
              </w:rPr>
              <w:t>treću</w:t>
            </w:r>
            <w:r w:rsidR="00082E52"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 tačku dnevnog reda. </w:t>
            </w:r>
            <w:r w:rsidR="005A44AF">
              <w:rPr>
                <w:rFonts w:asciiTheme="minorHAnsi" w:hAnsiTheme="minorHAnsi" w:cstheme="minorHAnsi"/>
                <w:sz w:val="22"/>
                <w:szCs w:val="22"/>
              </w:rPr>
              <w:t>Na kojoj je iznes</w:t>
            </w:r>
            <w:r w:rsidR="004F0A9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A44AF">
              <w:rPr>
                <w:rFonts w:asciiTheme="minorHAnsi" w:hAnsiTheme="minorHAnsi" w:cstheme="minorHAnsi"/>
                <w:sz w:val="22"/>
                <w:szCs w:val="22"/>
              </w:rPr>
              <w:t xml:space="preserve">n prijedlog </w:t>
            </w:r>
            <w:r w:rsidR="00AF5A0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A44AF">
              <w:rPr>
                <w:rFonts w:asciiTheme="minorHAnsi" w:hAnsiTheme="minorHAnsi" w:cstheme="minorHAnsi"/>
                <w:sz w:val="22"/>
                <w:szCs w:val="22"/>
              </w:rPr>
              <w:t xml:space="preserve">oziva za 26.sjednicu Skupštine TRA d.o.o. Povod sazivanja Skupštine Društva je osnivanje </w:t>
            </w:r>
            <w:r w:rsidR="00452522">
              <w:rPr>
                <w:rFonts w:asciiTheme="minorHAnsi" w:hAnsiTheme="minorHAnsi" w:cstheme="minorHAnsi"/>
                <w:sz w:val="22"/>
                <w:szCs w:val="22"/>
              </w:rPr>
              <w:t>podružnice TRA d.o.o pod nazivom TECH LAB, s obzirom da je pomenuti centar na drugoj lo</w:t>
            </w:r>
            <w:r w:rsidR="00AF5A03">
              <w:rPr>
                <w:rFonts w:asciiTheme="minorHAnsi" w:hAnsiTheme="minorHAnsi" w:cstheme="minorHAnsi"/>
                <w:sz w:val="22"/>
                <w:szCs w:val="22"/>
              </w:rPr>
              <w:t xml:space="preserve">kaciji i čini sastavni dio Agencije. </w:t>
            </w:r>
            <w:r w:rsidR="005C2A59">
              <w:rPr>
                <w:rFonts w:asciiTheme="minorHAnsi" w:hAnsiTheme="minorHAnsi" w:cstheme="minorHAnsi"/>
                <w:sz w:val="22"/>
                <w:szCs w:val="22"/>
              </w:rPr>
              <w:t>Nakon zaključene ras</w:t>
            </w:r>
            <w:r w:rsidR="00727EE0">
              <w:rPr>
                <w:rFonts w:asciiTheme="minorHAnsi" w:hAnsiTheme="minorHAnsi" w:cstheme="minorHAnsi"/>
                <w:sz w:val="22"/>
                <w:szCs w:val="22"/>
              </w:rPr>
              <w:t xml:space="preserve">prave, Nadzorni obor donosi; </w:t>
            </w:r>
            <w:r w:rsidR="002D3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CE43E8" w14:textId="5C17E573" w:rsidR="00715A8E" w:rsidRPr="005A3A25" w:rsidRDefault="005A3A25" w:rsidP="005A3A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A3A25">
              <w:rPr>
                <w:rFonts w:asciiTheme="minorHAnsi" w:hAnsiTheme="minorHAnsi" w:cstheme="minorHAnsi"/>
                <w:b/>
                <w:bCs/>
                <w:sz w:val="22"/>
              </w:rPr>
              <w:t>POZIV</w:t>
            </w:r>
          </w:p>
          <w:p w14:paraId="7BEC9D1E" w14:textId="77777777" w:rsidR="005A3A25" w:rsidRPr="005A3A25" w:rsidRDefault="005A3A25" w:rsidP="005A3A25">
            <w:pPr>
              <w:jc w:val="center"/>
              <w:rPr>
                <w:b/>
                <w:bCs/>
              </w:rPr>
            </w:pPr>
            <w:r w:rsidRPr="005A3A25">
              <w:rPr>
                <w:b/>
                <w:bCs/>
              </w:rPr>
              <w:t>za 26. Skupštinu „TRA“ d.o.o-Agencije za razvoj općine Tešanj</w:t>
            </w:r>
          </w:p>
          <w:p w14:paraId="3F548EEB" w14:textId="77777777" w:rsidR="005A3A25" w:rsidRPr="005A3A25" w:rsidRDefault="005A3A25" w:rsidP="005A3A25">
            <w:pPr>
              <w:rPr>
                <w:b/>
                <w:bCs/>
              </w:rPr>
            </w:pPr>
          </w:p>
          <w:p w14:paraId="29FBB380" w14:textId="77777777" w:rsidR="005A3A25" w:rsidRPr="005A3A25" w:rsidRDefault="005A3A25" w:rsidP="005A3A25">
            <w:pPr>
              <w:rPr>
                <w:b/>
                <w:bCs/>
              </w:rPr>
            </w:pPr>
            <w:r w:rsidRPr="005A3A25">
              <w:rPr>
                <w:b/>
                <w:bCs/>
              </w:rPr>
              <w:t>Skupština „TRA“ d.o.o Tešanj, saziva se za dana 09.11.2023.godine (četvrtak) sa početkom u 10:30 sati, u kancelariji direktora Agencije za razvoj općine Tešanj.</w:t>
            </w:r>
          </w:p>
          <w:p w14:paraId="3821FF15" w14:textId="77777777" w:rsidR="005A3A25" w:rsidRPr="005A3A25" w:rsidRDefault="005A3A25" w:rsidP="005A3A25">
            <w:pPr>
              <w:rPr>
                <w:b/>
                <w:bCs/>
              </w:rPr>
            </w:pPr>
            <w:r w:rsidRPr="005A3A25">
              <w:rPr>
                <w:b/>
                <w:bCs/>
              </w:rPr>
              <w:t xml:space="preserve">  </w:t>
            </w:r>
          </w:p>
          <w:p w14:paraId="0B438A58" w14:textId="77777777" w:rsidR="005A3A25" w:rsidRPr="005A3A25" w:rsidRDefault="005A3A25" w:rsidP="005A3A25">
            <w:pPr>
              <w:rPr>
                <w:b/>
                <w:bCs/>
              </w:rPr>
            </w:pPr>
          </w:p>
          <w:p w14:paraId="391F10E9" w14:textId="77777777" w:rsidR="005A3A25" w:rsidRPr="005A3A25" w:rsidRDefault="005A3A25" w:rsidP="005A3A25">
            <w:pPr>
              <w:rPr>
                <w:b/>
                <w:bCs/>
              </w:rPr>
            </w:pPr>
            <w:r w:rsidRPr="005A3A25">
              <w:rPr>
                <w:b/>
                <w:bCs/>
              </w:rPr>
              <w:t>Za rad Skupštine predlažemo slijedeći dnevni red:</w:t>
            </w:r>
          </w:p>
          <w:p w14:paraId="77D8844C" w14:textId="77777777" w:rsidR="005A3A25" w:rsidRPr="005A3A25" w:rsidRDefault="005A3A25" w:rsidP="005A3A25">
            <w:pPr>
              <w:jc w:val="both"/>
              <w:rPr>
                <w:b/>
                <w:bCs/>
              </w:rPr>
            </w:pPr>
            <w:r w:rsidRPr="005A3A25">
              <w:rPr>
                <w:b/>
                <w:bCs/>
              </w:rPr>
              <w:t xml:space="preserve">  1.  Utvrđivanje zapisnika sa 25. sjednice Skupštine Agencije TRA d.o.o</w:t>
            </w:r>
          </w:p>
          <w:p w14:paraId="485846A7" w14:textId="77777777" w:rsidR="005A3A25" w:rsidRPr="005A3A25" w:rsidRDefault="005A3A25" w:rsidP="005A3A25">
            <w:pPr>
              <w:jc w:val="both"/>
              <w:rPr>
                <w:b/>
                <w:bCs/>
              </w:rPr>
            </w:pPr>
            <w:r w:rsidRPr="005A3A25">
              <w:rPr>
                <w:b/>
                <w:bCs/>
              </w:rPr>
              <w:t xml:space="preserve">  2. Izbor predsjedavajućeg, zapisničara i ovjerivača zapisnika za 26. sjednicu Skupštine Agencije TRA</w:t>
            </w:r>
          </w:p>
          <w:p w14:paraId="7D9B55FF" w14:textId="77777777" w:rsidR="005A3A25" w:rsidRPr="005A3A25" w:rsidRDefault="005A3A25" w:rsidP="005A3A25">
            <w:pPr>
              <w:jc w:val="both"/>
              <w:rPr>
                <w:b/>
                <w:bCs/>
              </w:rPr>
            </w:pPr>
            <w:r w:rsidRPr="005A3A25">
              <w:rPr>
                <w:b/>
                <w:bCs/>
              </w:rPr>
              <w:t xml:space="preserve">  3. Odluka o prestanku rada i brisanju PJ TRA </w:t>
            </w:r>
          </w:p>
          <w:p w14:paraId="4B3F15F7" w14:textId="77777777" w:rsidR="005A3A25" w:rsidRPr="005A3A25" w:rsidRDefault="005A3A25" w:rsidP="005A3A25">
            <w:pPr>
              <w:jc w:val="both"/>
              <w:rPr>
                <w:b/>
                <w:bCs/>
              </w:rPr>
            </w:pPr>
            <w:r w:rsidRPr="005A3A25">
              <w:rPr>
                <w:b/>
                <w:bCs/>
              </w:rPr>
              <w:t xml:space="preserve">  4.  Odluka o osnivanju Podružnice TRA </w:t>
            </w:r>
          </w:p>
          <w:p w14:paraId="210A0306" w14:textId="1822B2C2" w:rsidR="00BC233A" w:rsidRDefault="00BC233A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06306B16" w14:textId="0A88DDB9" w:rsidR="00BC233A" w:rsidRDefault="00BC233A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7B7ED55B" w14:textId="77777777" w:rsidR="000E06CF" w:rsidRPr="00FA45C6" w:rsidRDefault="000E06CF" w:rsidP="00394C6C">
            <w:pPr>
              <w:pStyle w:val="TableBulle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2B90DE1D" w14:textId="30EF3388" w:rsidR="00A6787D" w:rsidRPr="00FA45C6" w:rsidRDefault="00FA45C6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bCs/>
                <w:sz w:val="22"/>
                <w:szCs w:val="22"/>
                <w:lang w:val="bs-Latn-BA"/>
              </w:rPr>
            </w:pPr>
            <w:r w:rsidRPr="00FA45C6">
              <w:rPr>
                <w:rFonts w:cs="Calibri"/>
                <w:bCs/>
                <w:sz w:val="22"/>
                <w:szCs w:val="22"/>
                <w:lang w:val="bs-Latn-BA"/>
              </w:rPr>
              <w:t xml:space="preserve">Sjednica okončana u </w:t>
            </w:r>
            <w:r w:rsidR="00D46E7D">
              <w:rPr>
                <w:rFonts w:cs="Calibri"/>
                <w:bCs/>
                <w:sz w:val="22"/>
                <w:szCs w:val="22"/>
                <w:lang w:val="bs-Latn-BA"/>
              </w:rPr>
              <w:t>11:44</w:t>
            </w:r>
            <w:r w:rsidRPr="00FA45C6">
              <w:rPr>
                <w:rFonts w:cs="Calibri"/>
                <w:bCs/>
                <w:sz w:val="22"/>
                <w:szCs w:val="22"/>
                <w:lang w:val="bs-Latn-BA"/>
              </w:rPr>
              <w:t xml:space="preserve"> h</w:t>
            </w:r>
          </w:p>
          <w:p w14:paraId="51126BF5" w14:textId="40BE9706" w:rsidR="00A6787D" w:rsidRPr="00FA45C6" w:rsidRDefault="00DD5CBC" w:rsidP="00FA45C6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5F7B38">
              <w:rPr>
                <w:b/>
                <w:bCs/>
                <w:sz w:val="22"/>
                <w:szCs w:val="22"/>
                <w:lang w:val="bs-Latn-BA"/>
              </w:rPr>
              <w:t xml:space="preserve"> </w:t>
            </w:r>
          </w:p>
          <w:p w14:paraId="3A5162FE" w14:textId="660D5628" w:rsidR="00916DF4" w:rsidRDefault="00916DF4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  <w:r w:rsidRPr="00D84A65">
              <w:rPr>
                <w:sz w:val="22"/>
                <w:szCs w:val="22"/>
                <w:lang w:val="bs-Latn-BA"/>
              </w:rPr>
              <w:t>Zapisničar:</w:t>
            </w:r>
            <w:r w:rsidR="00CA7BBA" w:rsidRPr="00D84A65">
              <w:rPr>
                <w:sz w:val="22"/>
                <w:szCs w:val="22"/>
                <w:lang w:val="bs-Latn-BA"/>
              </w:rPr>
              <w:t xml:space="preserve"> </w:t>
            </w:r>
            <w:r w:rsidRPr="00D84A65">
              <w:rPr>
                <w:sz w:val="22"/>
                <w:szCs w:val="22"/>
                <w:lang w:val="bs-Latn-BA"/>
              </w:rPr>
              <w:t>M</w:t>
            </w:r>
            <w:r w:rsidR="00DD5CBC" w:rsidRPr="00D84A65">
              <w:rPr>
                <w:sz w:val="22"/>
                <w:szCs w:val="22"/>
                <w:lang w:val="bs-Latn-BA"/>
              </w:rPr>
              <w:t>uamer Omahić</w:t>
            </w:r>
            <w:r w:rsidRPr="00D84A65">
              <w:rPr>
                <w:sz w:val="22"/>
                <w:szCs w:val="22"/>
                <w:lang w:val="bs-Latn-BA"/>
              </w:rPr>
              <w:t xml:space="preserve">            </w:t>
            </w:r>
            <w:r w:rsidRPr="00D84A65">
              <w:rPr>
                <w:rFonts w:cs="Calibri"/>
                <w:sz w:val="22"/>
                <w:szCs w:val="22"/>
                <w:lang w:val="bs-Latn-BA"/>
              </w:rPr>
              <w:t>Šerif Plančić, Predsjednik NO TRA                                   ______________________                                                          __________________________</w:t>
            </w:r>
          </w:p>
          <w:p w14:paraId="0A0A6D03" w14:textId="77777777" w:rsidR="00916DF4" w:rsidRDefault="00916DF4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</w:p>
          <w:p w14:paraId="291CB2A9" w14:textId="13247079" w:rsidR="000710A9" w:rsidRPr="002D5E4B" w:rsidRDefault="000710A9" w:rsidP="00916DF4">
            <w:pPr>
              <w:pStyle w:val="TableBullets"/>
              <w:numPr>
                <w:ilvl w:val="0"/>
                <w:numId w:val="0"/>
              </w:numPr>
              <w:jc w:val="both"/>
              <w:rPr>
                <w:sz w:val="22"/>
                <w:lang w:val="bs-Latn-BA"/>
              </w:rPr>
            </w:pPr>
          </w:p>
        </w:tc>
      </w:tr>
    </w:tbl>
    <w:p w14:paraId="659FC0F8" w14:textId="77777777" w:rsidR="0005461D" w:rsidRDefault="0005461D" w:rsidP="000B66DE">
      <w:pPr>
        <w:outlineLvl w:val="0"/>
      </w:pPr>
    </w:p>
    <w:sectPr w:rsidR="0005461D" w:rsidSect="001B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1F54"/>
    <w:multiLevelType w:val="hybridMultilevel"/>
    <w:tmpl w:val="B7EE9578"/>
    <w:lvl w:ilvl="0" w:tplc="B23AD924">
      <w:start w:val="1"/>
      <w:numFmt w:val="decimal"/>
      <w:lvlText w:val="%1."/>
      <w:lvlJc w:val="left"/>
      <w:pPr>
        <w:ind w:left="-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" w:hanging="360"/>
      </w:pPr>
    </w:lvl>
    <w:lvl w:ilvl="2" w:tplc="0409001B" w:tentative="1">
      <w:start w:val="1"/>
      <w:numFmt w:val="lowerRoman"/>
      <w:lvlText w:val="%3."/>
      <w:lvlJc w:val="right"/>
      <w:pPr>
        <w:ind w:left="772" w:hanging="180"/>
      </w:pPr>
    </w:lvl>
    <w:lvl w:ilvl="3" w:tplc="0409000F" w:tentative="1">
      <w:start w:val="1"/>
      <w:numFmt w:val="decimal"/>
      <w:lvlText w:val="%4."/>
      <w:lvlJc w:val="left"/>
      <w:pPr>
        <w:ind w:left="1492" w:hanging="360"/>
      </w:pPr>
    </w:lvl>
    <w:lvl w:ilvl="4" w:tplc="04090019" w:tentative="1">
      <w:start w:val="1"/>
      <w:numFmt w:val="lowerLetter"/>
      <w:lvlText w:val="%5."/>
      <w:lvlJc w:val="left"/>
      <w:pPr>
        <w:ind w:left="2212" w:hanging="360"/>
      </w:pPr>
    </w:lvl>
    <w:lvl w:ilvl="5" w:tplc="0409001B" w:tentative="1">
      <w:start w:val="1"/>
      <w:numFmt w:val="lowerRoman"/>
      <w:lvlText w:val="%6."/>
      <w:lvlJc w:val="right"/>
      <w:pPr>
        <w:ind w:left="2932" w:hanging="180"/>
      </w:pPr>
    </w:lvl>
    <w:lvl w:ilvl="6" w:tplc="0409000F" w:tentative="1">
      <w:start w:val="1"/>
      <w:numFmt w:val="decimal"/>
      <w:lvlText w:val="%7."/>
      <w:lvlJc w:val="left"/>
      <w:pPr>
        <w:ind w:left="3652" w:hanging="360"/>
      </w:pPr>
    </w:lvl>
    <w:lvl w:ilvl="7" w:tplc="04090019" w:tentative="1">
      <w:start w:val="1"/>
      <w:numFmt w:val="lowerLetter"/>
      <w:lvlText w:val="%8."/>
      <w:lvlJc w:val="left"/>
      <w:pPr>
        <w:ind w:left="4372" w:hanging="360"/>
      </w:pPr>
    </w:lvl>
    <w:lvl w:ilvl="8" w:tplc="0409001B" w:tentative="1">
      <w:start w:val="1"/>
      <w:numFmt w:val="lowerRoman"/>
      <w:lvlText w:val="%9."/>
      <w:lvlJc w:val="right"/>
      <w:pPr>
        <w:ind w:left="5092" w:hanging="180"/>
      </w:pPr>
    </w:lvl>
  </w:abstractNum>
  <w:abstractNum w:abstractNumId="1" w15:restartNumberingAfterBreak="0">
    <w:nsid w:val="080548E0"/>
    <w:multiLevelType w:val="hybridMultilevel"/>
    <w:tmpl w:val="5DA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FB1"/>
    <w:multiLevelType w:val="hybridMultilevel"/>
    <w:tmpl w:val="EC0C2EB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81DDF"/>
    <w:multiLevelType w:val="hybridMultilevel"/>
    <w:tmpl w:val="CE029F52"/>
    <w:lvl w:ilvl="0" w:tplc="68BC5F48">
      <w:start w:val="1"/>
      <w:numFmt w:val="decimal"/>
      <w:lvlText w:val="%1."/>
      <w:lvlJc w:val="left"/>
      <w:pPr>
        <w:ind w:left="960" w:hanging="60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6F2A"/>
    <w:multiLevelType w:val="hybridMultilevel"/>
    <w:tmpl w:val="A438A7EE"/>
    <w:lvl w:ilvl="0" w:tplc="C826E7F2">
      <w:start w:val="1"/>
      <w:numFmt w:val="decimal"/>
      <w:lvlText w:val="%1."/>
      <w:lvlJc w:val="left"/>
      <w:pPr>
        <w:ind w:left="63" w:hanging="42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723" w:hanging="360"/>
      </w:pPr>
    </w:lvl>
    <w:lvl w:ilvl="2" w:tplc="141A001B" w:tentative="1">
      <w:start w:val="1"/>
      <w:numFmt w:val="lowerRoman"/>
      <w:lvlText w:val="%3."/>
      <w:lvlJc w:val="right"/>
      <w:pPr>
        <w:ind w:left="1443" w:hanging="180"/>
      </w:pPr>
    </w:lvl>
    <w:lvl w:ilvl="3" w:tplc="141A000F" w:tentative="1">
      <w:start w:val="1"/>
      <w:numFmt w:val="decimal"/>
      <w:lvlText w:val="%4."/>
      <w:lvlJc w:val="left"/>
      <w:pPr>
        <w:ind w:left="2163" w:hanging="360"/>
      </w:pPr>
    </w:lvl>
    <w:lvl w:ilvl="4" w:tplc="141A0019" w:tentative="1">
      <w:start w:val="1"/>
      <w:numFmt w:val="lowerLetter"/>
      <w:lvlText w:val="%5."/>
      <w:lvlJc w:val="left"/>
      <w:pPr>
        <w:ind w:left="2883" w:hanging="360"/>
      </w:pPr>
    </w:lvl>
    <w:lvl w:ilvl="5" w:tplc="141A001B" w:tentative="1">
      <w:start w:val="1"/>
      <w:numFmt w:val="lowerRoman"/>
      <w:lvlText w:val="%6."/>
      <w:lvlJc w:val="right"/>
      <w:pPr>
        <w:ind w:left="3603" w:hanging="180"/>
      </w:pPr>
    </w:lvl>
    <w:lvl w:ilvl="6" w:tplc="141A000F" w:tentative="1">
      <w:start w:val="1"/>
      <w:numFmt w:val="decimal"/>
      <w:lvlText w:val="%7."/>
      <w:lvlJc w:val="left"/>
      <w:pPr>
        <w:ind w:left="4323" w:hanging="360"/>
      </w:pPr>
    </w:lvl>
    <w:lvl w:ilvl="7" w:tplc="141A0019" w:tentative="1">
      <w:start w:val="1"/>
      <w:numFmt w:val="lowerLetter"/>
      <w:lvlText w:val="%8."/>
      <w:lvlJc w:val="left"/>
      <w:pPr>
        <w:ind w:left="5043" w:hanging="360"/>
      </w:pPr>
    </w:lvl>
    <w:lvl w:ilvl="8" w:tplc="1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" w15:restartNumberingAfterBreak="0">
    <w:nsid w:val="38D036A6"/>
    <w:multiLevelType w:val="hybridMultilevel"/>
    <w:tmpl w:val="B9EE7CF8"/>
    <w:lvl w:ilvl="0" w:tplc="DDC69E4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AF33946"/>
    <w:multiLevelType w:val="hybridMultilevel"/>
    <w:tmpl w:val="CB529B30"/>
    <w:lvl w:ilvl="0" w:tplc="2EA6E0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31705A6"/>
    <w:multiLevelType w:val="hybridMultilevel"/>
    <w:tmpl w:val="6764E834"/>
    <w:lvl w:ilvl="0" w:tplc="98326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6799"/>
    <w:multiLevelType w:val="hybridMultilevel"/>
    <w:tmpl w:val="A87C2208"/>
    <w:lvl w:ilvl="0" w:tplc="1B143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2099F"/>
    <w:multiLevelType w:val="hybridMultilevel"/>
    <w:tmpl w:val="E35CD062"/>
    <w:lvl w:ilvl="0" w:tplc="34FAA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D341F"/>
    <w:multiLevelType w:val="hybridMultilevel"/>
    <w:tmpl w:val="A3C6583A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AC0907"/>
    <w:multiLevelType w:val="hybridMultilevel"/>
    <w:tmpl w:val="2722C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129EF"/>
    <w:multiLevelType w:val="hybridMultilevel"/>
    <w:tmpl w:val="4B764BE6"/>
    <w:lvl w:ilvl="0" w:tplc="F360301E">
      <w:start w:val="1"/>
      <w:numFmt w:val="bullet"/>
      <w:pStyle w:val="TableBullets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8613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200992">
    <w:abstractNumId w:val="11"/>
  </w:num>
  <w:num w:numId="3" w16cid:durableId="1037464782">
    <w:abstractNumId w:val="1"/>
  </w:num>
  <w:num w:numId="4" w16cid:durableId="2075548515">
    <w:abstractNumId w:val="9"/>
  </w:num>
  <w:num w:numId="5" w16cid:durableId="297221007">
    <w:abstractNumId w:val="2"/>
  </w:num>
  <w:num w:numId="6" w16cid:durableId="157574364">
    <w:abstractNumId w:val="4"/>
  </w:num>
  <w:num w:numId="7" w16cid:durableId="1119253312">
    <w:abstractNumId w:val="12"/>
  </w:num>
  <w:num w:numId="8" w16cid:durableId="2145148639">
    <w:abstractNumId w:val="10"/>
  </w:num>
  <w:num w:numId="9" w16cid:durableId="1296908827">
    <w:abstractNumId w:val="0"/>
  </w:num>
  <w:num w:numId="10" w16cid:durableId="376515212">
    <w:abstractNumId w:val="5"/>
  </w:num>
  <w:num w:numId="11" w16cid:durableId="924533391">
    <w:abstractNumId w:val="6"/>
  </w:num>
  <w:num w:numId="12" w16cid:durableId="402870537">
    <w:abstractNumId w:val="8"/>
  </w:num>
  <w:num w:numId="13" w16cid:durableId="60493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0F"/>
    <w:rsid w:val="00000053"/>
    <w:rsid w:val="000040C4"/>
    <w:rsid w:val="000126BE"/>
    <w:rsid w:val="00036C10"/>
    <w:rsid w:val="00046A72"/>
    <w:rsid w:val="00051143"/>
    <w:rsid w:val="00053225"/>
    <w:rsid w:val="0005461D"/>
    <w:rsid w:val="000710A9"/>
    <w:rsid w:val="00072926"/>
    <w:rsid w:val="00077889"/>
    <w:rsid w:val="00082E52"/>
    <w:rsid w:val="000A0BBF"/>
    <w:rsid w:val="000A1D83"/>
    <w:rsid w:val="000B13CF"/>
    <w:rsid w:val="000B66DE"/>
    <w:rsid w:val="000D04A2"/>
    <w:rsid w:val="000D2BCD"/>
    <w:rsid w:val="000D3631"/>
    <w:rsid w:val="000D59DC"/>
    <w:rsid w:val="000E06CF"/>
    <w:rsid w:val="000F1BFA"/>
    <w:rsid w:val="000F3CD8"/>
    <w:rsid w:val="000F5741"/>
    <w:rsid w:val="00100052"/>
    <w:rsid w:val="001251CD"/>
    <w:rsid w:val="00125B44"/>
    <w:rsid w:val="0013058D"/>
    <w:rsid w:val="0014188F"/>
    <w:rsid w:val="001446FF"/>
    <w:rsid w:val="001513A6"/>
    <w:rsid w:val="00164024"/>
    <w:rsid w:val="0016574F"/>
    <w:rsid w:val="00174604"/>
    <w:rsid w:val="00191224"/>
    <w:rsid w:val="0019697D"/>
    <w:rsid w:val="001A5B9B"/>
    <w:rsid w:val="001B1FE3"/>
    <w:rsid w:val="001B786B"/>
    <w:rsid w:val="00200D36"/>
    <w:rsid w:val="00205CFF"/>
    <w:rsid w:val="00212AB5"/>
    <w:rsid w:val="00213B61"/>
    <w:rsid w:val="00227986"/>
    <w:rsid w:val="00247A06"/>
    <w:rsid w:val="00277C00"/>
    <w:rsid w:val="00290DBC"/>
    <w:rsid w:val="002935BE"/>
    <w:rsid w:val="002974B8"/>
    <w:rsid w:val="002A34D7"/>
    <w:rsid w:val="002D01F9"/>
    <w:rsid w:val="002D32C3"/>
    <w:rsid w:val="002D5674"/>
    <w:rsid w:val="002F5FFE"/>
    <w:rsid w:val="00313AA0"/>
    <w:rsid w:val="00345848"/>
    <w:rsid w:val="0034713B"/>
    <w:rsid w:val="0035027A"/>
    <w:rsid w:val="00360A24"/>
    <w:rsid w:val="00364BF9"/>
    <w:rsid w:val="00365756"/>
    <w:rsid w:val="00392AEA"/>
    <w:rsid w:val="00394C6C"/>
    <w:rsid w:val="003B0320"/>
    <w:rsid w:val="003B2042"/>
    <w:rsid w:val="003B4154"/>
    <w:rsid w:val="003C1840"/>
    <w:rsid w:val="003F092D"/>
    <w:rsid w:val="003F1846"/>
    <w:rsid w:val="003F1932"/>
    <w:rsid w:val="00404F42"/>
    <w:rsid w:val="00427EE8"/>
    <w:rsid w:val="0043428C"/>
    <w:rsid w:val="00452522"/>
    <w:rsid w:val="004527E1"/>
    <w:rsid w:val="00453974"/>
    <w:rsid w:val="00464B87"/>
    <w:rsid w:val="00464D51"/>
    <w:rsid w:val="0046652E"/>
    <w:rsid w:val="00470F82"/>
    <w:rsid w:val="00486911"/>
    <w:rsid w:val="004906CD"/>
    <w:rsid w:val="004B3312"/>
    <w:rsid w:val="004B65A7"/>
    <w:rsid w:val="004D4CC9"/>
    <w:rsid w:val="004E1A2E"/>
    <w:rsid w:val="004E2948"/>
    <w:rsid w:val="004E30C0"/>
    <w:rsid w:val="004F0A95"/>
    <w:rsid w:val="0051005C"/>
    <w:rsid w:val="00523C9A"/>
    <w:rsid w:val="00524727"/>
    <w:rsid w:val="00525624"/>
    <w:rsid w:val="00525721"/>
    <w:rsid w:val="00535F6F"/>
    <w:rsid w:val="00547CA1"/>
    <w:rsid w:val="00551125"/>
    <w:rsid w:val="00570ACB"/>
    <w:rsid w:val="00571246"/>
    <w:rsid w:val="00575AA7"/>
    <w:rsid w:val="0058248F"/>
    <w:rsid w:val="005A3A25"/>
    <w:rsid w:val="005A44AF"/>
    <w:rsid w:val="005B34D9"/>
    <w:rsid w:val="005C2A59"/>
    <w:rsid w:val="005F7B38"/>
    <w:rsid w:val="00611CCE"/>
    <w:rsid w:val="00614C69"/>
    <w:rsid w:val="00616812"/>
    <w:rsid w:val="006236B0"/>
    <w:rsid w:val="0062518E"/>
    <w:rsid w:val="00626D10"/>
    <w:rsid w:val="0067283D"/>
    <w:rsid w:val="00690865"/>
    <w:rsid w:val="006A7BA7"/>
    <w:rsid w:val="006C7813"/>
    <w:rsid w:val="006D3421"/>
    <w:rsid w:val="00704C26"/>
    <w:rsid w:val="00714510"/>
    <w:rsid w:val="00715A8E"/>
    <w:rsid w:val="00725580"/>
    <w:rsid w:val="00727EE0"/>
    <w:rsid w:val="00730CC4"/>
    <w:rsid w:val="007378D5"/>
    <w:rsid w:val="00755317"/>
    <w:rsid w:val="007630B8"/>
    <w:rsid w:val="0076317E"/>
    <w:rsid w:val="00781D1E"/>
    <w:rsid w:val="00784825"/>
    <w:rsid w:val="0078556A"/>
    <w:rsid w:val="00792482"/>
    <w:rsid w:val="00792AE2"/>
    <w:rsid w:val="007A2CD3"/>
    <w:rsid w:val="007B2470"/>
    <w:rsid w:val="007B2682"/>
    <w:rsid w:val="007C0061"/>
    <w:rsid w:val="007D38C1"/>
    <w:rsid w:val="00803626"/>
    <w:rsid w:val="00817CAE"/>
    <w:rsid w:val="00820EA4"/>
    <w:rsid w:val="00880FF4"/>
    <w:rsid w:val="0089210F"/>
    <w:rsid w:val="008A003C"/>
    <w:rsid w:val="008B36F0"/>
    <w:rsid w:val="008C4A46"/>
    <w:rsid w:val="008E38AA"/>
    <w:rsid w:val="008F1E9A"/>
    <w:rsid w:val="008F686E"/>
    <w:rsid w:val="008F7D8E"/>
    <w:rsid w:val="00904EA5"/>
    <w:rsid w:val="00916DF4"/>
    <w:rsid w:val="00917103"/>
    <w:rsid w:val="0093025E"/>
    <w:rsid w:val="00930277"/>
    <w:rsid w:val="0094496D"/>
    <w:rsid w:val="009705CB"/>
    <w:rsid w:val="00971DF9"/>
    <w:rsid w:val="00973D19"/>
    <w:rsid w:val="00977C72"/>
    <w:rsid w:val="0098146E"/>
    <w:rsid w:val="009B13B3"/>
    <w:rsid w:val="009C23DB"/>
    <w:rsid w:val="009E7BA4"/>
    <w:rsid w:val="009F6391"/>
    <w:rsid w:val="00A04E5A"/>
    <w:rsid w:val="00A105A3"/>
    <w:rsid w:val="00A375C8"/>
    <w:rsid w:val="00A51E2C"/>
    <w:rsid w:val="00A66E8D"/>
    <w:rsid w:val="00A67058"/>
    <w:rsid w:val="00A6787D"/>
    <w:rsid w:val="00A71BAB"/>
    <w:rsid w:val="00A7420C"/>
    <w:rsid w:val="00A91589"/>
    <w:rsid w:val="00AA300F"/>
    <w:rsid w:val="00AB161E"/>
    <w:rsid w:val="00AB61AF"/>
    <w:rsid w:val="00AC0918"/>
    <w:rsid w:val="00AD2F2A"/>
    <w:rsid w:val="00AE0933"/>
    <w:rsid w:val="00AF5A03"/>
    <w:rsid w:val="00B052ED"/>
    <w:rsid w:val="00B112F1"/>
    <w:rsid w:val="00B1212B"/>
    <w:rsid w:val="00B16530"/>
    <w:rsid w:val="00B20ADC"/>
    <w:rsid w:val="00B23C40"/>
    <w:rsid w:val="00B327C2"/>
    <w:rsid w:val="00B42FBC"/>
    <w:rsid w:val="00B53FFF"/>
    <w:rsid w:val="00B60627"/>
    <w:rsid w:val="00B61872"/>
    <w:rsid w:val="00B61EFF"/>
    <w:rsid w:val="00B7068A"/>
    <w:rsid w:val="00B82716"/>
    <w:rsid w:val="00B83F5B"/>
    <w:rsid w:val="00B917D5"/>
    <w:rsid w:val="00B92CBA"/>
    <w:rsid w:val="00BB7710"/>
    <w:rsid w:val="00BC233A"/>
    <w:rsid w:val="00BD1066"/>
    <w:rsid w:val="00C039BD"/>
    <w:rsid w:val="00C104AD"/>
    <w:rsid w:val="00C1341F"/>
    <w:rsid w:val="00C7637D"/>
    <w:rsid w:val="00C8011F"/>
    <w:rsid w:val="00C82373"/>
    <w:rsid w:val="00CA47C3"/>
    <w:rsid w:val="00CA518E"/>
    <w:rsid w:val="00CA7BBA"/>
    <w:rsid w:val="00CB168D"/>
    <w:rsid w:val="00CC02F0"/>
    <w:rsid w:val="00CC02F4"/>
    <w:rsid w:val="00CF427E"/>
    <w:rsid w:val="00D057B1"/>
    <w:rsid w:val="00D07335"/>
    <w:rsid w:val="00D26902"/>
    <w:rsid w:val="00D363C8"/>
    <w:rsid w:val="00D43180"/>
    <w:rsid w:val="00D44F4A"/>
    <w:rsid w:val="00D46E7D"/>
    <w:rsid w:val="00D53E21"/>
    <w:rsid w:val="00D61D1B"/>
    <w:rsid w:val="00D71926"/>
    <w:rsid w:val="00D810B9"/>
    <w:rsid w:val="00D8330C"/>
    <w:rsid w:val="00D84A65"/>
    <w:rsid w:val="00D86006"/>
    <w:rsid w:val="00D96CD5"/>
    <w:rsid w:val="00DB586B"/>
    <w:rsid w:val="00DC08E4"/>
    <w:rsid w:val="00DD017D"/>
    <w:rsid w:val="00DD5CBC"/>
    <w:rsid w:val="00DE032A"/>
    <w:rsid w:val="00DF0206"/>
    <w:rsid w:val="00DF18D5"/>
    <w:rsid w:val="00DF3C90"/>
    <w:rsid w:val="00E20CAC"/>
    <w:rsid w:val="00E355EE"/>
    <w:rsid w:val="00E379D6"/>
    <w:rsid w:val="00E470B7"/>
    <w:rsid w:val="00E5014D"/>
    <w:rsid w:val="00E50F28"/>
    <w:rsid w:val="00E57E48"/>
    <w:rsid w:val="00E66E8F"/>
    <w:rsid w:val="00E707C7"/>
    <w:rsid w:val="00E84530"/>
    <w:rsid w:val="00E862F2"/>
    <w:rsid w:val="00E90E23"/>
    <w:rsid w:val="00EE3FC9"/>
    <w:rsid w:val="00F0424D"/>
    <w:rsid w:val="00F05B7B"/>
    <w:rsid w:val="00F226DB"/>
    <w:rsid w:val="00F31593"/>
    <w:rsid w:val="00F3692C"/>
    <w:rsid w:val="00F55733"/>
    <w:rsid w:val="00F56BD2"/>
    <w:rsid w:val="00F733D7"/>
    <w:rsid w:val="00F772D3"/>
    <w:rsid w:val="00F81F8E"/>
    <w:rsid w:val="00FA27D0"/>
    <w:rsid w:val="00FA3D8D"/>
    <w:rsid w:val="00FA45C6"/>
    <w:rsid w:val="00FA7794"/>
    <w:rsid w:val="00FB4893"/>
    <w:rsid w:val="00FD7BBE"/>
    <w:rsid w:val="00FE2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CDD5"/>
  <w15:docId w15:val="{5A5C07AB-349D-46E8-8AE8-56AB0C16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00F"/>
    <w:pPr>
      <w:spacing w:before="100" w:beforeAutospacing="1" w:after="100" w:afterAutospacing="1"/>
    </w:pPr>
    <w:rPr>
      <w:lang w:val="hr-HR" w:eastAsia="hr-HR"/>
    </w:rPr>
  </w:style>
  <w:style w:type="character" w:customStyle="1" w:styleId="BezproredaChar">
    <w:name w:val="Bez proreda Char"/>
    <w:link w:val="Bezproreda"/>
    <w:locked/>
    <w:rsid w:val="00AA300F"/>
    <w:rPr>
      <w:rFonts w:ascii="Calibri" w:eastAsia="Calibri" w:hAnsi="Calibri" w:cs="Calibri"/>
      <w:lang w:val="en-US"/>
    </w:rPr>
  </w:style>
  <w:style w:type="paragraph" w:customStyle="1" w:styleId="Bezproreda">
    <w:name w:val="Bez proreda"/>
    <w:link w:val="BezproredaChar"/>
    <w:rsid w:val="00AA300F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pple-converted-space">
    <w:name w:val="apple-converted-space"/>
    <w:basedOn w:val="DefaultParagraphFont"/>
    <w:rsid w:val="00AA300F"/>
  </w:style>
  <w:style w:type="character" w:styleId="Hyperlink">
    <w:name w:val="Hyperlink"/>
    <w:basedOn w:val="DefaultParagraphFont"/>
    <w:uiPriority w:val="99"/>
    <w:unhideWhenUsed/>
    <w:rsid w:val="000B66DE"/>
    <w:rPr>
      <w:color w:val="0000FF" w:themeColor="hyperlink"/>
      <w:u w:val="single"/>
    </w:rPr>
  </w:style>
  <w:style w:type="paragraph" w:customStyle="1" w:styleId="xmsolistparagraph">
    <w:name w:val="x_msolistparagraph"/>
    <w:basedOn w:val="Normal"/>
    <w:rsid w:val="000710A9"/>
    <w:pPr>
      <w:spacing w:before="100" w:beforeAutospacing="1" w:after="100" w:afterAutospacing="1"/>
    </w:pPr>
    <w:rPr>
      <w:lang w:bidi="ta-IN"/>
    </w:rPr>
  </w:style>
  <w:style w:type="paragraph" w:customStyle="1" w:styleId="TableBullets">
    <w:name w:val="Table Bullets"/>
    <w:basedOn w:val="Normal"/>
    <w:qFormat/>
    <w:rsid w:val="000710A9"/>
    <w:pPr>
      <w:numPr>
        <w:numId w:val="7"/>
      </w:numPr>
      <w:contextualSpacing/>
    </w:pPr>
    <w:rPr>
      <w:rFonts w:ascii="Calibri" w:eastAsia="MS Mincho" w:hAnsi="Calibri"/>
      <w:sz w:val="20"/>
      <w:lang w:val="en-US" w:eastAsia="en-US"/>
    </w:rPr>
  </w:style>
  <w:style w:type="paragraph" w:styleId="NoSpacing">
    <w:name w:val="No Spacing"/>
    <w:link w:val="NoSpacingChar"/>
    <w:uiPriority w:val="1"/>
    <w:qFormat/>
    <w:rsid w:val="000710A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0710A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@tr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7A29-B006-4D00-9538-6C7C4A37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Acer-10</dc:creator>
  <cp:lastModifiedBy>Muamer Omahić</cp:lastModifiedBy>
  <cp:revision>156</cp:revision>
  <cp:lastPrinted>2022-10-05T09:55:00Z</cp:lastPrinted>
  <dcterms:created xsi:type="dcterms:W3CDTF">2022-10-05T09:55:00Z</dcterms:created>
  <dcterms:modified xsi:type="dcterms:W3CDTF">2023-11-17T13:01:00Z</dcterms:modified>
</cp:coreProperties>
</file>